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exodus-23"/>
    <w:p>
      <w:pPr>
        <w:pStyle w:val="Heading1"/>
      </w:pPr>
      <w:r>
        <w:t xml:space="preserve">Homiletics Analysis: Exodus 23</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Exodus 23 completes the Book of the Covenant (begun at 20:22) with three distinct but unified sections. The first section (vv. 1–9) extends the commandments against false witness and partiality into the daily life of the covenant community — prohibiting slander, mob justice, bribery, and the oppression of foreigners. The second section (vv. 10–19) establishes the rhythmic calendar of rest and worship: the sabbatical year for the land, the weekly Sabbath for laborers and animals, and the three annual pilgrimage festivals (Unleavened Bread, Harvest/Weeks, Ingathering/Booths) together with the regulations governing firstfruits and offerings. The third section (vv. 20–33) transitions from Israel’s behavior to God’s action: the LORD promises to send His angel before Israel to guard them on the way, drive out the nations, and bring them into the land — on condition that Israel obey and make no covenant with the Canaanites or their gods.</w:t>
      </w:r>
    </w:p>
    <w:p>
      <w:pPr>
        <w:pStyle w:val="BodyText"/>
      </w:pPr>
      <w:r>
        <w:t xml:space="preserve">The chapter thus moves from civic justice, to communal worship rhythm, to divine promise and covenantal warning. The three sections are not loosely associated — they form a single integrated vision of what covenant life looks like: how Israel is to treat the vulnerable, how Israel is to order its time around God, and how God will act on Israel’s behalf as they enter the land.</w:t>
      </w:r>
    </w:p>
    <w:p>
      <w:pPr>
        <w:pStyle w:val="BodyText"/>
      </w:pPr>
      <w:r>
        <w:rPr>
          <w:b/>
          <w:bCs/>
        </w:rPr>
        <w:t xml:space="preserve">This Text — Intent:</w:t>
      </w:r>
    </w:p>
    <w:p>
      <w:pPr>
        <w:pStyle w:val="BodyText"/>
      </w:pPr>
      <w:r>
        <w:t xml:space="preserve">God’s intent through this chapter is to form Israel as a community whose entire social, economic, temporal, and spiritual existence is ordered by the covenant. The chapter does not merely give rules — it is shaping a people. Through the justice provisions, God is pressing upon Israel that covenant membership is incompatible with the exploitation of the weak. Through the calendar provisions, He is claiming Israel’s time and demanding that rest and celebration be structured acts of trust in His provision. Through the conquest promise, He is calling Israel to confident, dependent obedience — to trust His power rather than negotiate with the idolatry surrounding them. The cumulative effect God is seeking to produce is a community that looks radically different from Egypt and Canaan: not a slave economy, not an agrarian fertility cult, but a people whose justice, worship, and confidence all flow from their covenant relationship with the LORD.</w:t>
      </w:r>
    </w:p>
    <w:p>
      <w:r>
        <w:pict>
          <v:rect style="width:0;height:1.5pt" o:hralign="center" o:hrstd="t" o:hr="t"/>
        </w:pict>
      </w:r>
    </w:p>
    <w:p>
      <w:pPr>
        <w:pStyle w:val="FirstParagraph"/>
      </w:pPr>
      <w:r>
        <w:rPr>
          <w:b/>
          <w:bCs/>
        </w:rPr>
        <w:t xml:space="preserve">Subject Sentence:</w:t>
      </w:r>
      <w:r>
        <w:t xml:space="preserve"> </w:t>
      </w:r>
      <w:r>
        <w:t xml:space="preserve">The LORD orders Israel’s justice, worship, and future as covenant Lord over all of life.</w:t>
      </w:r>
    </w:p>
    <w:p>
      <w:r>
        <w:pict>
          <v:rect style="width:0;height:1.5pt" o:hralign="center" o:hrstd="t" o:hr="t"/>
        </w:pict>
      </w:r>
    </w:p>
    <w:p>
      <w:pPr>
        <w:pStyle w:val="FirstParagraph"/>
      </w:pPr>
      <w:r>
        <w:rPr>
          <w:b/>
          <w:bCs/>
        </w:rPr>
        <w:t xml:space="preserve">Primary Claim:</w:t>
      </w:r>
      <w:r>
        <w:t xml:space="preserve"> </w:t>
      </w:r>
      <w:r>
        <w:t xml:space="preserve">Because the LORD is Israel’s covenant Lord — not merely their deliverer but the Governor of every dimension of their common life — faithful covenant living means ordering justice, time, and trust entirely around Him, and He will act accordingly on their behalf.</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Relationship Between Law and Gospel in This Chapter</w:t>
      </w:r>
    </w:p>
    <w:p>
      <w:pPr>
        <w:pStyle w:val="BodyText"/>
      </w:pPr>
      <w:r>
        <w:t xml:space="preserve">The Lutheran Law/Gospel hermeneutic, applied consistently, reads the commandments of Exodus 23 primarily as Law in the strict sense — commands that expose Israel’s inability and drive them to the gospel of the New Covenant. There is something right in this: the chapter’s requirements (complete impartiality, total care for enemies’ animals, every seventh year releasing the land) do press beyond what fallen human nature will spontaneously produce. However, reading this chapter primarily as accusation misses its own register. These commands are given</w:t>
      </w:r>
      <w:r>
        <w:t xml:space="preserve"> </w:t>
      </w:r>
      <w:r>
        <w:rPr>
          <w:i/>
          <w:iCs/>
        </w:rPr>
        <w:t xml:space="preserve">within</w:t>
      </w:r>
      <w:r>
        <w:t xml:space="preserve"> </w:t>
      </w:r>
      <w:r>
        <w:t xml:space="preserve">the covenant already established, to a people already redeemed from Egypt. The chapter is covenant formation, not pre-gospel condemnation. The appropriate response is</w:t>
      </w:r>
      <w:r>
        <w:t xml:space="preserve"> </w:t>
      </w:r>
      <w:r>
        <w:rPr>
          <w:i/>
          <w:iCs/>
        </w:rPr>
        <w:t xml:space="preserve">qualify</w:t>
      </w:r>
      <w:r>
        <w:t xml:space="preserve">: the Law/Gospel distinction is not wrong, but it is insufficient as a primary hermeneutic here. The commands function as covenant instructions for the redeemed, not merely as an exposer of sin.</w:t>
      </w:r>
    </w:p>
    <w:p>
      <w:pPr>
        <w:pStyle w:val="BodyText"/>
      </w:pPr>
      <w:r>
        <w:rPr>
          <w:b/>
          <w:bCs/>
        </w:rPr>
        <w:t xml:space="preserve">The Social Justice Reduction</w:t>
      </w:r>
    </w:p>
    <w:p>
      <w:pPr>
        <w:pStyle w:val="BodyText"/>
      </w:pPr>
      <w:r>
        <w:t xml:space="preserve">A significant homiletical danger — common in both progressive Protestant and Roman Catholic social teaching traditions — is to read the justice provisions (vv. 1–9) in isolation and treat the chapter as primarily a social ethics text, with the worship calendar and conquest promise as secondary or culturally dated material. This misreads the chapter’s own structure: the justice provisions and the worship calendar are inseparable in the text, and the conquest promise gives the entire chapter its covenantal ground. Justice that is detached from worship and divine promise becomes mere humanitarianism. The appropriate response is</w:t>
      </w:r>
      <w:r>
        <w:t xml:space="preserve"> </w:t>
      </w:r>
      <w:r>
        <w:rPr>
          <w:i/>
          <w:iCs/>
        </w:rPr>
        <w:t xml:space="preserve">refute</w:t>
      </w:r>
      <w:r>
        <w:t xml:space="preserve"> </w:t>
      </w:r>
      <w:r>
        <w:t xml:space="preserve">at this hermeneutical level: the text will not allow the justice provisions to stand alone without the theocentric worship structure and the divine-initiative promise that bracket them.</w:t>
      </w:r>
    </w:p>
    <w:p>
      <w:pPr>
        <w:pStyle w:val="BodyText"/>
      </w:pPr>
      <w:r>
        <w:rPr>
          <w:b/>
          <w:bCs/>
        </w:rPr>
        <w:t xml:space="preserve">Dispensational Interpretation of the Festivals and the Angel</w:t>
      </w:r>
    </w:p>
    <w:p>
      <w:pPr>
        <w:pStyle w:val="BodyText"/>
      </w:pPr>
      <w:r>
        <w:t xml:space="preserve">Dispensational hermeneutics often reads the three annual festivals (vv. 14–17) as types pointing forward to specific events in Israel’s prophetic future (Passover/Unleavened Bread = the crucifixion; Pentecost = the church; Ingathering/Booths = the millennial kingdom). There is genuine typological value in noting that these festivals anticipate later redemptive-historical fulfillment. However, the chapter itself does not draw explicit typological connections, and imposing a prophetic schema onto a covenant-formation text risks obscuring its primary function: shaping Israel’s lived obedience now. The Reformed reading acknowledges typological resonance as a legitimate secondary layer (and one worth developing briefly in preaching) while insisting the text’s primary claim governs. The appropriate response here is</w:t>
      </w:r>
      <w:r>
        <w:t xml:space="preserve"> </w:t>
      </w:r>
      <w:r>
        <w:rPr>
          <w:i/>
          <w:iCs/>
        </w:rPr>
        <w:t xml:space="preserve">acknowledge</w:t>
      </w:r>
      <w:r>
        <w:t xml:space="preserve">: the typological instinct is sound, but should not override the covenant-formation emphasis.</w:t>
      </w:r>
    </w:p>
    <w:p>
      <w:pPr>
        <w:pStyle w:val="BodyText"/>
      </w:pPr>
      <w:r>
        <w:rPr>
          <w:b/>
          <w:bCs/>
        </w:rPr>
        <w:t xml:space="preserve">The Angel of the LORD (vv. 20–23) — Christophany?</w:t>
      </w:r>
    </w:p>
    <w:p>
      <w:pPr>
        <w:pStyle w:val="BodyText"/>
      </w:pPr>
      <w:r>
        <w:t xml:space="preserve">Reformed and Lutheran interpreters have frequently identified the</w:t>
      </w:r>
      <w:r>
        <w:t xml:space="preserve"> </w:t>
      </w:r>
      <w:r>
        <w:t xml:space="preserve">“angel”</w:t>
      </w:r>
      <w:r>
        <w:t xml:space="preserve"> </w:t>
      </w:r>
      <w:r>
        <w:t xml:space="preserve">of vv. 20–23 as a pre-incarnate appearance of the Son (a theophanic angel or Christophany), noting that the angel bears the LORD’s Name (v. 21), demands obedience that belongs to God alone, and cannot forgive transgression independently — all of which suggest more than a created messenger. This reading is exegetically defensible and has strong patristic and Reformed precedent (Calvin, Keil, Clowney). The alternative — that this is a created angelic figure acting as divine representative — is possible but struggles to account for the Name-bearing language. For preaching purposes, the Christophanic reading should be noted as probable and illuminating: the One who leads Israel to the land is the same One who becomes flesh and leads His people through death into the promised inheritance. The appropriate response is</w:t>
      </w:r>
      <w:r>
        <w:t xml:space="preserve"> </w:t>
      </w:r>
      <w:r>
        <w:rPr>
          <w:i/>
          <w:iCs/>
        </w:rPr>
        <w:t xml:space="preserve">acknowledge</w:t>
      </w:r>
      <w:r>
        <w:t xml:space="preserve"> </w:t>
      </w:r>
      <w:r>
        <w:t xml:space="preserve">this as a genuinely probable reading with significant homiletical value.</w:t>
      </w:r>
    </w:p>
    <w:p>
      <w:pPr>
        <w:pStyle w:val="BodyText"/>
      </w:pPr>
      <w:r>
        <w:rPr>
          <w:b/>
          <w:bCs/>
        </w:rPr>
        <w:t xml:space="preserve">The Conquest Command and Christian Ethics</w:t>
      </w:r>
    </w:p>
    <w:p>
      <w:pPr>
        <w:pStyle w:val="BodyText"/>
      </w:pPr>
      <w:r>
        <w:t xml:space="preserve">The command to drive out the Canaanites and make no covenant with them (vv. 23–33) troubles many contemporary readers and generates hermeneutical evasion in both liberal and some evangelical traditions. The standard objections — divine violence, ethnic cleansing — require honest engagement. The Reformed reading holds: (a) the conquest is divine judgment on nations whose iniquity was full (cf. Gen. 15:16); (b) it is not a racial but a theological command — about the danger of idolatry, not ethnic purity; (c) the New Covenant equivalent is spiritual warfare against idols, not physical conquest; and (d) the passage ends with a warning to Israel that the same logic applies to them — they too will be expelled if they follow false gods. The refutation of the</w:t>
      </w:r>
      <w:r>
        <w:t xml:space="preserve"> </w:t>
      </w:r>
      <w:r>
        <w:t xml:space="preserve">“ethnic cleansing”</w:t>
      </w:r>
      <w:r>
        <w:t xml:space="preserve"> </w:t>
      </w:r>
      <w:r>
        <w:t xml:space="preserve">misreading is important, but so is refusing to spiritualize the passage into irrelevance. The conquest command is God’s righteous judgment, executed through Israel, pointing forward to the final judgment of all idolatry.</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Deuteronomy 16:18–20</w:t>
      </w:r>
      <w:r>
        <w:t xml:space="preserve"> </w:t>
      </w:r>
      <w:r>
        <w:t xml:space="preserve">—</w:t>
      </w:r>
      <w:r>
        <w:t xml:space="preserve"> </w:t>
      </w:r>
      <w:r>
        <w:rPr>
          <w:i/>
          <w:iCs/>
        </w:rPr>
        <w:t xml:space="preserve">“Justice, and only justice, you shall follow”</w:t>
      </w:r>
      <w:r>
        <w:t xml:space="preserve"> </w:t>
      </w:r>
      <w:r>
        <w:t xml:space="preserve">— extends the impartiality commands of Exodus 23:1–9 into the governance structure of the settled land, showing the justice provisions as permanent covenant expectation, not merely wilderness legislation.</w:t>
      </w:r>
    </w:p>
    <w:p>
      <w:pPr>
        <w:numPr>
          <w:ilvl w:val="0"/>
          <w:numId w:val="1001"/>
        </w:numPr>
      </w:pPr>
      <w:r>
        <w:rPr>
          <w:b/>
          <w:bCs/>
        </w:rPr>
        <w:t xml:space="preserve">Leviticus 25:1–7</w:t>
      </w:r>
      <w:r>
        <w:t xml:space="preserve"> </w:t>
      </w:r>
      <w:r>
        <w:t xml:space="preserve">— The sabbatical year for the land, introduced in Exodus 23:10–11, receives its full theological grounding here: the land belongs to the LORD; Israel’s rest of the land is an act of faith that He will provide. This illuminates Exodus 23’s intent: the calendar provisions are acts of trust, not mere ceremony.</w:t>
      </w:r>
    </w:p>
    <w:p>
      <w:pPr>
        <w:numPr>
          <w:ilvl w:val="0"/>
          <w:numId w:val="1001"/>
        </w:numPr>
      </w:pPr>
      <w:r>
        <w:rPr>
          <w:b/>
          <w:bCs/>
        </w:rPr>
        <w:t xml:space="preserve">Genesis 15:16</w:t>
      </w:r>
      <w:r>
        <w:t xml:space="preserve"> </w:t>
      </w:r>
      <w:r>
        <w:t xml:space="preserve">—</w:t>
      </w:r>
      <w:r>
        <w:t xml:space="preserve"> </w:t>
      </w:r>
      <w:r>
        <w:rPr>
          <w:i/>
          <w:iCs/>
        </w:rPr>
        <w:t xml:space="preserve">“The iniquity of the Amorites is not yet complete”</w:t>
      </w:r>
      <w:r>
        <w:t xml:space="preserve"> </w:t>
      </w:r>
      <w:r>
        <w:t xml:space="preserve">— provides the covenantal and moral context for the conquest promise of Exodus 23:23–33. The displacement of the nations is judgment, not arbitrary dispossession. The connection makes the chapter’s conquest section morally intelligible within the canon.</w:t>
      </w:r>
    </w:p>
    <w:p>
      <w:pPr>
        <w:numPr>
          <w:ilvl w:val="0"/>
          <w:numId w:val="1001"/>
        </w:numPr>
      </w:pPr>
      <w:r>
        <w:rPr>
          <w:b/>
          <w:bCs/>
        </w:rPr>
        <w:t xml:space="preserve">Hebrews 1:1–4 / John 1:14</w:t>
      </w:r>
      <w:r>
        <w:t xml:space="preserve"> </w:t>
      </w:r>
      <w:r>
        <w:t xml:space="preserve">— If the angel of Exodus 23:20–21 who bears the LORD’s Name is a pre-incarnate Christophany, then the One who promises to guide Israel into their inheritance anticipates the One who, as the Word made flesh, leads a new covenant people into a greater inheritance. Hebrews 1 identifies the Son as the definitive spokesperson who supersedes angelic intermediaries — giving retroactive weight to the theophanic identification.</w:t>
      </w:r>
    </w:p>
    <w:p>
      <w:pPr>
        <w:numPr>
          <w:ilvl w:val="0"/>
          <w:numId w:val="1001"/>
        </w:numPr>
      </w:pPr>
      <w:r>
        <w:rPr>
          <w:b/>
          <w:bCs/>
        </w:rPr>
        <w:t xml:space="preserve">Matthew 5:43–48 / Luke 10:25–37</w:t>
      </w:r>
      <w:r>
        <w:t xml:space="preserve"> </w:t>
      </w:r>
      <w:r>
        <w:t xml:space="preserve">— Jesus’ extension of neighbor-love to enemies and outsiders draws directly from the logic of Exodus 23:4–9 (care for an enemy’s animal; do not oppress the foreigner, for you were once foreigners). The New Covenant does not abolish but radicalizes the justice provisions of the Book of the Covenant.</w:t>
      </w:r>
    </w:p>
    <w:p>
      <w:r>
        <w:pict>
          <v:rect style="width:0;height:1.5pt" o:hralign="center" o:hrstd="t" o:hr="t"/>
        </w:pict>
      </w:r>
    </w:p>
    <w:p>
      <w:pPr>
        <w:pStyle w:val="FirstParagraph"/>
      </w:pPr>
      <w:r>
        <w:rPr>
          <w:b/>
          <w:bCs/>
        </w:rPr>
        <w:t xml:space="preserve">Aim:</w:t>
      </w:r>
      <w:r>
        <w:t xml:space="preserve"> </w:t>
      </w:r>
      <w:r>
        <w:t xml:space="preserve">To show how Exodus 23 forms an integrated picture of covenant life — just, worshipful, and confident — and to call the contemporary reader to the same total ordering of life under God’s lordship.</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Prohibition on false reports and testifying with the wicked</w:t>
            </w:r>
          </w:p>
        </w:tc>
        <w:tc>
          <w:tcPr/>
          <w:p>
            <w:pPr>
              <w:pStyle w:val="Compact"/>
            </w:pPr>
            <w:r>
              <w:t xml:space="preserve">Connects to the 9th commandment; communal dimension of bearing false witness</w:t>
            </w:r>
          </w:p>
        </w:tc>
      </w:tr>
      <w:tr>
        <w:tc>
          <w:tcPr/>
          <w:p>
            <w:pPr>
              <w:pStyle w:val="Compact"/>
            </w:pPr>
            <w:r>
              <w:t xml:space="preserve">2</w:t>
            </w:r>
          </w:p>
        </w:tc>
        <w:tc>
          <w:tcPr/>
          <w:p>
            <w:pPr>
              <w:pStyle w:val="Compact"/>
            </w:pPr>
            <w:r>
              <w:t xml:space="preserve">Do not follow a crowd to do evil or pervert justice</w:t>
            </w:r>
          </w:p>
        </w:tc>
        <w:tc>
          <w:tcPr/>
          <w:p>
            <w:pPr>
              <w:pStyle w:val="Compact"/>
            </w:pPr>
            <w:r>
              <w:t xml:space="preserve">Mob-justice prohibition; social conformity as a specific temptation</w:t>
            </w:r>
          </w:p>
        </w:tc>
      </w:tr>
      <w:tr>
        <w:tc>
          <w:tcPr/>
          <w:p>
            <w:pPr>
              <w:pStyle w:val="Compact"/>
            </w:pPr>
            <w:r>
              <w:t xml:space="preserve">3</w:t>
            </w:r>
          </w:p>
        </w:tc>
        <w:tc>
          <w:tcPr/>
          <w:p>
            <w:pPr>
              <w:pStyle w:val="Compact"/>
            </w:pPr>
            <w:r>
              <w:t xml:space="preserve">Do not show partiality to the poor in a lawsuit</w:t>
            </w:r>
          </w:p>
        </w:tc>
        <w:tc>
          <w:tcPr/>
          <w:p>
            <w:pPr>
              <w:pStyle w:val="Compact"/>
            </w:pPr>
            <w:r>
              <w:t xml:space="preserve">Surprising directional command — partiality in either direction violates justice</w:t>
            </w:r>
          </w:p>
        </w:tc>
      </w:tr>
      <w:tr>
        <w:tc>
          <w:tcPr/>
          <w:p>
            <w:pPr>
              <w:pStyle w:val="Compact"/>
            </w:pPr>
            <w:r>
              <w:t xml:space="preserve">4–5</w:t>
            </w:r>
          </w:p>
        </w:tc>
        <w:tc>
          <w:tcPr/>
          <w:p>
            <w:pPr>
              <w:pStyle w:val="Compact"/>
            </w:pPr>
            <w:r>
              <w:t xml:space="preserve">Obligation to return an enemy’s wandering animal and help with a fallen donkey</w:t>
            </w:r>
          </w:p>
        </w:tc>
        <w:tc>
          <w:tcPr/>
          <w:p>
            <w:pPr>
              <w:pStyle w:val="Compact"/>
            </w:pPr>
            <w:r>
              <w:t xml:space="preserve">Justice extends to enemies; covenant obligation overcomes personal hostility</w:t>
            </w:r>
          </w:p>
        </w:tc>
      </w:tr>
      <w:tr>
        <w:tc>
          <w:tcPr/>
          <w:p>
            <w:pPr>
              <w:pStyle w:val="Compact"/>
            </w:pPr>
            <w:r>
              <w:t xml:space="preserve">6</w:t>
            </w:r>
          </w:p>
        </w:tc>
        <w:tc>
          <w:tcPr/>
          <w:p>
            <w:pPr>
              <w:pStyle w:val="Compact"/>
            </w:pPr>
            <w:r>
              <w:t xml:space="preserve">Do not deny justice to the poor in their lawsuits</w:t>
            </w:r>
          </w:p>
        </w:tc>
        <w:tc>
          <w:tcPr/>
          <w:p>
            <w:pPr>
              <w:pStyle w:val="Compact"/>
            </w:pPr>
            <w:r>
              <w:t xml:space="preserve">Balances v. 3 — partiality toward the powerful is equally prohibited</w:t>
            </w:r>
          </w:p>
        </w:tc>
      </w:tr>
      <w:tr>
        <w:tc>
          <w:tcPr/>
          <w:p>
            <w:pPr>
              <w:pStyle w:val="Compact"/>
            </w:pPr>
            <w:r>
              <w:t xml:space="preserve">7</w:t>
            </w:r>
          </w:p>
        </w:tc>
        <w:tc>
          <w:tcPr/>
          <w:p>
            <w:pPr>
              <w:pStyle w:val="Compact"/>
            </w:pPr>
            <w:r>
              <w:t xml:space="preserve">Keep far from falsehood; do not kill the innocent; the LORD will not acquit the wicked</w:t>
            </w:r>
          </w:p>
        </w:tc>
        <w:tc>
          <w:tcPr/>
          <w:p>
            <w:pPr>
              <w:pStyle w:val="Compact"/>
            </w:pPr>
            <w:r>
              <w:t xml:space="preserve">The LORD as ultimate Judge grounds all human justice</w:t>
            </w:r>
          </w:p>
        </w:tc>
      </w:tr>
      <w:tr>
        <w:tc>
          <w:tcPr/>
          <w:p>
            <w:pPr>
              <w:pStyle w:val="Compact"/>
            </w:pPr>
            <w:r>
              <w:t xml:space="preserve">8</w:t>
            </w:r>
          </w:p>
        </w:tc>
        <w:tc>
          <w:tcPr/>
          <w:p>
            <w:pPr>
              <w:pStyle w:val="Compact"/>
            </w:pPr>
            <w:r>
              <w:t xml:space="preserve">Do not take bribes — a bribe blinds officials and subverts the cause of the righteous</w:t>
            </w:r>
          </w:p>
        </w:tc>
        <w:tc>
          <w:tcPr/>
          <w:p>
            <w:pPr>
              <w:pStyle w:val="Compact"/>
            </w:pPr>
            <w:r>
              <w:t xml:space="preserve">Corruption of perception, not merely corruption of action</w:t>
            </w:r>
          </w:p>
        </w:tc>
      </w:tr>
      <w:tr>
        <w:tc>
          <w:tcPr/>
          <w:p>
            <w:pPr>
              <w:pStyle w:val="Compact"/>
            </w:pPr>
            <w:r>
              <w:t xml:space="preserve">9</w:t>
            </w:r>
          </w:p>
        </w:tc>
        <w:tc>
          <w:tcPr/>
          <w:p>
            <w:pPr>
              <w:pStyle w:val="Compact"/>
            </w:pPr>
            <w:r>
              <w:t xml:space="preserve">Do not oppress the foreigner — Israel knows the foreigner’s heart from Egypt</w:t>
            </w:r>
          </w:p>
        </w:tc>
        <w:tc>
          <w:tcPr/>
          <w:p>
            <w:pPr>
              <w:pStyle w:val="Compact"/>
            </w:pPr>
            <w:r>
              <w:t xml:space="preserve">Empathy grounded in redemptive memory; the exodus creates the ethic</w:t>
            </w:r>
          </w:p>
        </w:tc>
      </w:tr>
      <w:tr>
        <w:tc>
          <w:tcPr/>
          <w:p>
            <w:pPr>
              <w:pStyle w:val="Compact"/>
            </w:pPr>
            <w:r>
              <w:t xml:space="preserve">10–11</w:t>
            </w:r>
          </w:p>
        </w:tc>
        <w:tc>
          <w:tcPr/>
          <w:p>
            <w:pPr>
              <w:pStyle w:val="Compact"/>
            </w:pPr>
            <w:r>
              <w:t xml:space="preserve">The sabbatical year: six years farm the land; the seventh year leave it for the poor and the wild animals</w:t>
            </w:r>
          </w:p>
        </w:tc>
        <w:tc>
          <w:tcPr/>
          <w:p>
            <w:pPr>
              <w:pStyle w:val="Compact"/>
            </w:pPr>
            <w:r>
              <w:t xml:space="preserve">Land Sabbath as provision for the vulnerable; trust in the LORD’s supply</w:t>
            </w:r>
          </w:p>
        </w:tc>
      </w:tr>
      <w:tr>
        <w:tc>
          <w:tcPr/>
          <w:p>
            <w:pPr>
              <w:pStyle w:val="Compact"/>
            </w:pPr>
            <w:r>
              <w:t xml:space="preserve">12</w:t>
            </w:r>
          </w:p>
        </w:tc>
        <w:tc>
          <w:tcPr/>
          <w:p>
            <w:pPr>
              <w:pStyle w:val="Compact"/>
            </w:pPr>
            <w:r>
              <w:t xml:space="preserve">The weekly Sabbath: rest for ox, donkey, servant, and the foreigner</w:t>
            </w:r>
          </w:p>
        </w:tc>
        <w:tc>
          <w:tcPr/>
          <w:p>
            <w:pPr>
              <w:pStyle w:val="Compact"/>
            </w:pPr>
            <w:r>
              <w:t xml:space="preserve">The Sabbath is humanitarian as well as theological; it reaches every dependent</w:t>
            </w:r>
          </w:p>
        </w:tc>
      </w:tr>
      <w:tr>
        <w:tc>
          <w:tcPr/>
          <w:p>
            <w:pPr>
              <w:pStyle w:val="Compact"/>
            </w:pPr>
            <w:r>
              <w:t xml:space="preserve">13</w:t>
            </w:r>
          </w:p>
        </w:tc>
        <w:tc>
          <w:tcPr/>
          <w:p>
            <w:pPr>
              <w:pStyle w:val="Compact"/>
            </w:pPr>
            <w:r>
              <w:t xml:space="preserve">Be careful to observe all that has been said; do not invoke the names of other gods</w:t>
            </w:r>
          </w:p>
        </w:tc>
        <w:tc>
          <w:tcPr/>
          <w:p>
            <w:pPr>
              <w:pStyle w:val="Compact"/>
            </w:pPr>
            <w:r>
              <w:t xml:space="preserve">Summarizing call to obedience; the issue of other gods introduced before the festival section</w:t>
            </w:r>
          </w:p>
        </w:tc>
      </w:tr>
      <w:tr>
        <w:tc>
          <w:tcPr/>
          <w:p>
            <w:pPr>
              <w:pStyle w:val="Compact"/>
            </w:pPr>
            <w:r>
              <w:t xml:space="preserve">14</w:t>
            </w:r>
          </w:p>
        </w:tc>
        <w:tc>
          <w:tcPr/>
          <w:p>
            <w:pPr>
              <w:pStyle w:val="Compact"/>
            </w:pPr>
            <w:r>
              <w:t xml:space="preserve">Three times a year keep a feast to the LORD</w:t>
            </w:r>
          </w:p>
        </w:tc>
        <w:tc>
          <w:tcPr/>
          <w:p>
            <w:pPr>
              <w:pStyle w:val="Compact"/>
            </w:pPr>
            <w:r>
              <w:t xml:space="preserve">The annual pilgrimage rhythm is the structural frame</w:t>
            </w:r>
          </w:p>
        </w:tc>
      </w:tr>
      <w:tr>
        <w:tc>
          <w:tcPr/>
          <w:p>
            <w:pPr>
              <w:pStyle w:val="Compact"/>
            </w:pPr>
            <w:r>
              <w:t xml:space="preserve">15</w:t>
            </w:r>
          </w:p>
        </w:tc>
        <w:tc>
          <w:tcPr/>
          <w:p>
            <w:pPr>
              <w:pStyle w:val="Compact"/>
            </w:pPr>
            <w:r>
              <w:t xml:space="preserve">Feast of Unleavened Bread — seven days, in the month of Abib, when Israel came out of Egypt; no one shall appear before God empty-handed</w:t>
            </w:r>
          </w:p>
        </w:tc>
        <w:tc>
          <w:tcPr/>
          <w:p>
            <w:pPr>
              <w:pStyle w:val="Compact"/>
            </w:pPr>
            <w:r>
              <w:t xml:space="preserve">Linked to the exodus event; calendar embeds redemptive history</w:t>
            </w:r>
          </w:p>
        </w:tc>
      </w:tr>
      <w:tr>
        <w:tc>
          <w:tcPr/>
          <w:p>
            <w:pPr>
              <w:pStyle w:val="Compact"/>
            </w:pPr>
            <w:r>
              <w:t xml:space="preserve">16a</w:t>
            </w:r>
          </w:p>
        </w:tc>
        <w:tc>
          <w:tcPr/>
          <w:p>
            <w:pPr>
              <w:pStyle w:val="Compact"/>
            </w:pPr>
            <w:r>
              <w:t xml:space="preserve">Feast of Harvest (Firstfruits / Weeks) — firstfruits of the labor in the field</w:t>
            </w:r>
          </w:p>
        </w:tc>
        <w:tc>
          <w:tcPr/>
          <w:p>
            <w:pPr>
              <w:pStyle w:val="Compact"/>
            </w:pPr>
            <w:r>
              <w:t xml:space="preserve">Agricultural celebration consecrated to the LORD as firstfruits</w:t>
            </w:r>
          </w:p>
        </w:tc>
      </w:tr>
      <w:tr>
        <w:tc>
          <w:tcPr/>
          <w:p>
            <w:pPr>
              <w:pStyle w:val="Compact"/>
            </w:pPr>
            <w:r>
              <w:t xml:space="preserve">16b</w:t>
            </w:r>
          </w:p>
        </w:tc>
        <w:tc>
          <w:tcPr/>
          <w:p>
            <w:pPr>
              <w:pStyle w:val="Compact"/>
            </w:pPr>
            <w:r>
              <w:t xml:space="preserve">Feast of Ingathering (Booths) — at the end of the year when the harvest is gathered</w:t>
            </w:r>
          </w:p>
        </w:tc>
        <w:tc>
          <w:tcPr/>
          <w:p>
            <w:pPr>
              <w:pStyle w:val="Compact"/>
            </w:pPr>
            <w:r>
              <w:t xml:space="preserve">The final harvest celebration; the full agricultural cycle enclosed in worship</w:t>
            </w:r>
          </w:p>
        </w:tc>
      </w:tr>
      <w:tr>
        <w:tc>
          <w:tcPr/>
          <w:p>
            <w:pPr>
              <w:pStyle w:val="Compact"/>
            </w:pPr>
            <w:r>
              <w:t xml:space="preserve">17</w:t>
            </w:r>
          </w:p>
        </w:tc>
        <w:tc>
          <w:tcPr/>
          <w:p>
            <w:pPr>
              <w:pStyle w:val="Compact"/>
            </w:pPr>
            <w:r>
              <w:t xml:space="preserve">All males shall appear before the LORD three times a year</w:t>
            </w:r>
          </w:p>
        </w:tc>
        <w:tc>
          <w:tcPr/>
          <w:p>
            <w:pPr>
              <w:pStyle w:val="Compact"/>
            </w:pPr>
            <w:r>
              <w:t xml:space="preserve">The communal, obligatory character of the festivals</w:t>
            </w:r>
          </w:p>
        </w:tc>
      </w:tr>
      <w:tr>
        <w:tc>
          <w:tcPr/>
          <w:p>
            <w:pPr>
              <w:pStyle w:val="Compact"/>
            </w:pPr>
            <w:r>
              <w:t xml:space="preserve">18</w:t>
            </w:r>
          </w:p>
        </w:tc>
        <w:tc>
          <w:tcPr/>
          <w:p>
            <w:pPr>
              <w:pStyle w:val="Compact"/>
            </w:pPr>
            <w:r>
              <w:t xml:space="preserve">Do not offer blood with leavened bread; do not let fat of the festival remain overnight</w:t>
            </w:r>
          </w:p>
        </w:tc>
        <w:tc>
          <w:tcPr/>
          <w:p>
            <w:pPr>
              <w:pStyle w:val="Compact"/>
            </w:pPr>
            <w:r>
              <w:t xml:space="preserve">Ritual purity provisions for the offerings; integrity of worship</w:t>
            </w:r>
          </w:p>
        </w:tc>
      </w:tr>
      <w:tr>
        <w:tc>
          <w:tcPr/>
          <w:p>
            <w:pPr>
              <w:pStyle w:val="Compact"/>
            </w:pPr>
            <w:r>
              <w:t xml:space="preserve">19a</w:t>
            </w:r>
          </w:p>
        </w:tc>
        <w:tc>
          <w:tcPr/>
          <w:p>
            <w:pPr>
              <w:pStyle w:val="Compact"/>
            </w:pPr>
            <w:r>
              <w:t xml:space="preserve">Bring the best firstfruits of the ground to the house of the LORD</w:t>
            </w:r>
          </w:p>
        </w:tc>
        <w:tc>
          <w:tcPr/>
          <w:p>
            <w:pPr>
              <w:pStyle w:val="Compact"/>
            </w:pPr>
            <w:r>
              <w:t xml:space="preserve">Firstfruits provision — God receives the first and best, not the surplus</w:t>
            </w:r>
          </w:p>
        </w:tc>
      </w:tr>
      <w:tr>
        <w:tc>
          <w:tcPr/>
          <w:p>
            <w:pPr>
              <w:pStyle w:val="Compact"/>
            </w:pPr>
            <w:r>
              <w:t xml:space="preserve">19b</w:t>
            </w:r>
          </w:p>
        </w:tc>
        <w:tc>
          <w:tcPr/>
          <w:p>
            <w:pPr>
              <w:pStyle w:val="Compact"/>
            </w:pPr>
            <w:r>
              <w:t xml:space="preserve">Do not boil a young goat in its mother’s milk</w:t>
            </w:r>
          </w:p>
        </w:tc>
        <w:tc>
          <w:tcPr/>
          <w:p>
            <w:pPr>
              <w:pStyle w:val="Compact"/>
            </w:pPr>
            <w:r>
              <w:t xml:space="preserve">Enigmatic provision; most likely separating Israel’s practice from Canaanite fertility cult rituals</w:t>
            </w:r>
          </w:p>
        </w:tc>
      </w:tr>
      <w:tr>
        <w:tc>
          <w:tcPr/>
          <w:p>
            <w:pPr>
              <w:pStyle w:val="Compact"/>
            </w:pPr>
            <w:r>
              <w:t xml:space="preserve">20</w:t>
            </w:r>
          </w:p>
        </w:tc>
        <w:tc>
          <w:tcPr/>
          <w:p>
            <w:pPr>
              <w:pStyle w:val="Compact"/>
            </w:pPr>
            <w:r>
              <w:t xml:space="preserve">Promise of the angel sent before Israel to guard and bring to the prepared place</w:t>
            </w:r>
          </w:p>
        </w:tc>
        <w:tc>
          <w:tcPr/>
          <w:p>
            <w:pPr>
              <w:pStyle w:val="Compact"/>
            </w:pPr>
            <w:r>
              <w:t xml:space="preserve">The divine-initiative turn; God acts first and leads the way</w:t>
            </w:r>
          </w:p>
        </w:tc>
      </w:tr>
      <w:tr>
        <w:tc>
          <w:tcPr/>
          <w:p>
            <w:pPr>
              <w:pStyle w:val="Compact"/>
            </w:pPr>
            <w:r>
              <w:t xml:space="preserve">21</w:t>
            </w:r>
          </w:p>
        </w:tc>
        <w:tc>
          <w:tcPr/>
          <w:p>
            <w:pPr>
              <w:pStyle w:val="Compact"/>
            </w:pPr>
            <w:r>
              <w:t xml:space="preserve">Obey and do not rebel against him — he will not pardon transgression, for My Name is in him</w:t>
            </w:r>
          </w:p>
        </w:tc>
        <w:tc>
          <w:tcPr/>
          <w:p>
            <w:pPr>
              <w:pStyle w:val="Compact"/>
            </w:pPr>
            <w:r>
              <w:t xml:space="preserve">The angel’s authority is divine; Name-bearing suggests theophanic identity</w:t>
            </w:r>
          </w:p>
        </w:tc>
      </w:tr>
      <w:tr>
        <w:tc>
          <w:tcPr/>
          <w:p>
            <w:pPr>
              <w:pStyle w:val="Compact"/>
            </w:pPr>
            <w:r>
              <w:t xml:space="preserve">22</w:t>
            </w:r>
          </w:p>
        </w:tc>
        <w:tc>
          <w:tcPr/>
          <w:p>
            <w:pPr>
              <w:pStyle w:val="Compact"/>
            </w:pPr>
            <w:r>
              <w:t xml:space="preserve">If you obey the angel, the LORD will be an enemy to Israel’s enemies</w:t>
            </w:r>
          </w:p>
        </w:tc>
        <w:tc>
          <w:tcPr/>
          <w:p>
            <w:pPr>
              <w:pStyle w:val="Compact"/>
            </w:pPr>
            <w:r>
              <w:t xml:space="preserve">The conditional structure: obedience unlocks covenantal protection</w:t>
            </w:r>
          </w:p>
        </w:tc>
      </w:tr>
      <w:tr>
        <w:tc>
          <w:tcPr/>
          <w:p>
            <w:pPr>
              <w:pStyle w:val="Compact"/>
            </w:pPr>
            <w:r>
              <w:t xml:space="preserve">23–24</w:t>
            </w:r>
          </w:p>
        </w:tc>
        <w:tc>
          <w:tcPr/>
          <w:p>
            <w:pPr>
              <w:pStyle w:val="Compact"/>
            </w:pPr>
            <w:r>
              <w:t xml:space="preserve">The angel will bring Israel in and drive out the six nations; do not bow to their gods or serve them or imitate their practices; utterly overthrow them</w:t>
            </w:r>
          </w:p>
        </w:tc>
        <w:tc>
          <w:tcPr/>
          <w:p>
            <w:pPr>
              <w:pStyle w:val="Compact"/>
            </w:pPr>
            <w:r>
              <w:t xml:space="preserve">The conquest as judgment; the danger is religious, not merely military</w:t>
            </w:r>
          </w:p>
        </w:tc>
      </w:tr>
      <w:tr>
        <w:tc>
          <w:tcPr/>
          <w:p>
            <w:pPr>
              <w:pStyle w:val="Compact"/>
            </w:pPr>
            <w:r>
              <w:t xml:space="preserve">25–26</w:t>
            </w:r>
          </w:p>
        </w:tc>
        <w:tc>
          <w:tcPr/>
          <w:p>
            <w:pPr>
              <w:pStyle w:val="Compact"/>
            </w:pPr>
            <w:r>
              <w:t xml:space="preserve">If you serve the LORD your God, He will bless bread and water, remove sickness, prevent miscarriage, give full days</w:t>
            </w:r>
          </w:p>
        </w:tc>
        <w:tc>
          <w:tcPr/>
          <w:p>
            <w:pPr>
              <w:pStyle w:val="Compact"/>
            </w:pPr>
            <w:r>
              <w:t xml:space="preserve">Covenant blessings in the land contingent on exclusive worship</w:t>
            </w:r>
          </w:p>
        </w:tc>
      </w:tr>
      <w:tr>
        <w:tc>
          <w:tcPr/>
          <w:p>
            <w:pPr>
              <w:pStyle w:val="Compact"/>
            </w:pPr>
            <w:r>
              <w:t xml:space="preserve">27</w:t>
            </w:r>
          </w:p>
        </w:tc>
        <w:tc>
          <w:tcPr/>
          <w:p>
            <w:pPr>
              <w:pStyle w:val="Compact"/>
            </w:pPr>
            <w:r>
              <w:t xml:space="preserve">The LORD will send His terror, confusion, and turn the backs of enemies before Israel</w:t>
            </w:r>
          </w:p>
        </w:tc>
        <w:tc>
          <w:tcPr/>
          <w:p>
            <w:pPr>
              <w:pStyle w:val="Compact"/>
            </w:pPr>
            <w:r>
              <w:t xml:space="preserve">The psychological and supernatural dimensions of the conquest</w:t>
            </w:r>
          </w:p>
        </w:tc>
      </w:tr>
      <w:tr>
        <w:tc>
          <w:tcPr/>
          <w:p>
            <w:pPr>
              <w:pStyle w:val="Compact"/>
            </w:pPr>
            <w:r>
              <w:t xml:space="preserve">28</w:t>
            </w:r>
          </w:p>
        </w:tc>
        <w:tc>
          <w:tcPr/>
          <w:p>
            <w:pPr>
              <w:pStyle w:val="Compact"/>
            </w:pPr>
            <w:r>
              <w:t xml:space="preserve">The LORD will send hornets before Israel to drive out the Hivites, Canaanites, and Hittites</w:t>
            </w:r>
          </w:p>
        </w:tc>
        <w:tc>
          <w:tcPr/>
          <w:p>
            <w:pPr>
              <w:pStyle w:val="Compact"/>
            </w:pPr>
            <w:r>
              <w:t xml:space="preserve">The LORD uses natural agents in judgment; the conquest is His act through various means</w:t>
            </w:r>
          </w:p>
        </w:tc>
      </w:tr>
      <w:tr>
        <w:tc>
          <w:tcPr/>
          <w:p>
            <w:pPr>
              <w:pStyle w:val="Compact"/>
            </w:pPr>
            <w:r>
              <w:t xml:space="preserve">29–30</w:t>
            </w:r>
          </w:p>
        </w:tc>
        <w:tc>
          <w:tcPr/>
          <w:p>
            <w:pPr>
              <w:pStyle w:val="Compact"/>
            </w:pPr>
            <w:r>
              <w:t xml:space="preserve">The conquest will be gradual — not in one year — lest the land become desolate; driven out little by little until Israel multiplies</w:t>
            </w:r>
          </w:p>
        </w:tc>
        <w:tc>
          <w:tcPr/>
          <w:p>
            <w:pPr>
              <w:pStyle w:val="Compact"/>
            </w:pPr>
            <w:r>
              <w:t xml:space="preserve">Pastoral wisdom in the divine strategy: the pace is set by Israel’s capacity to occupy</w:t>
            </w:r>
          </w:p>
        </w:tc>
      </w:tr>
      <w:tr>
        <w:tc>
          <w:tcPr/>
          <w:p>
            <w:pPr>
              <w:pStyle w:val="Compact"/>
            </w:pPr>
            <w:r>
              <w:t xml:space="preserve">31</w:t>
            </w:r>
          </w:p>
        </w:tc>
        <w:tc>
          <w:tcPr/>
          <w:p>
            <w:pPr>
              <w:pStyle w:val="Compact"/>
            </w:pPr>
            <w:r>
              <w:t xml:space="preserve">The borders of the promised land defined — Red Sea to Sea of the Philistines; wilderness to the Euphrates</w:t>
            </w:r>
          </w:p>
        </w:tc>
        <w:tc>
          <w:tcPr/>
          <w:p>
            <w:pPr>
              <w:pStyle w:val="Compact"/>
            </w:pPr>
            <w:r>
              <w:t xml:space="preserve">The full territorial promise restated; the inhabitants to be driven out</w:t>
            </w:r>
          </w:p>
        </w:tc>
      </w:tr>
      <w:tr>
        <w:tc>
          <w:tcPr/>
          <w:p>
            <w:pPr>
              <w:pStyle w:val="Compact"/>
            </w:pPr>
            <w:r>
              <w:t xml:space="preserve">32–33</w:t>
            </w:r>
          </w:p>
        </w:tc>
        <w:tc>
          <w:tcPr/>
          <w:p>
            <w:pPr>
              <w:pStyle w:val="Compact"/>
            </w:pPr>
            <w:r>
              <w:t xml:space="preserve">Make no covenant with the Canaanites or their gods; they must not dwell in the land lest they cause Israel to sin</w:t>
            </w:r>
          </w:p>
        </w:tc>
        <w:tc>
          <w:tcPr/>
          <w:p>
            <w:pPr>
              <w:pStyle w:val="Compact"/>
            </w:pPr>
            <w:r>
              <w:t xml:space="preserve">The danger is not military but theological — resident idolaters become a snare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1–9</w:t>
            </w:r>
          </w:p>
        </w:tc>
        <w:tc>
          <w:tcPr/>
          <w:p>
            <w:pPr>
              <w:pStyle w:val="Compact"/>
            </w:pPr>
            <w:r>
              <w:t xml:space="preserve">Covenant Justice: Truth, Impartiality, and Care for the Vulnerable</w:t>
            </w:r>
          </w:p>
        </w:tc>
      </w:tr>
      <w:tr>
        <w:tc>
          <w:tcPr/>
          <w:p>
            <w:pPr>
              <w:pStyle w:val="Compact"/>
            </w:pPr>
            <w:r>
              <w:t xml:space="preserve">2</w:t>
            </w:r>
          </w:p>
        </w:tc>
        <w:tc>
          <w:tcPr/>
          <w:p>
            <w:pPr>
              <w:pStyle w:val="Compact"/>
            </w:pPr>
            <w:r>
              <w:t xml:space="preserve">10–19</w:t>
            </w:r>
          </w:p>
        </w:tc>
        <w:tc>
          <w:tcPr/>
          <w:p>
            <w:pPr>
              <w:pStyle w:val="Compact"/>
            </w:pPr>
            <w:r>
              <w:t xml:space="preserve">Covenant Worship: The Rhythm of Rest, Sabbath, and Festival</w:t>
            </w:r>
          </w:p>
        </w:tc>
      </w:tr>
      <w:tr>
        <w:tc>
          <w:tcPr/>
          <w:p>
            <w:pPr>
              <w:pStyle w:val="Compact"/>
            </w:pPr>
            <w:r>
              <w:t xml:space="preserve">3</w:t>
            </w:r>
          </w:p>
        </w:tc>
        <w:tc>
          <w:tcPr/>
          <w:p>
            <w:pPr>
              <w:pStyle w:val="Compact"/>
            </w:pPr>
            <w:r>
              <w:t xml:space="preserve">20–33</w:t>
            </w:r>
          </w:p>
        </w:tc>
        <w:tc>
          <w:tcPr/>
          <w:p>
            <w:pPr>
              <w:pStyle w:val="Compact"/>
            </w:pPr>
            <w:r>
              <w:t xml:space="preserve">Covenant Promise: The LORD Goes Before Israel into the Land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 orders Israel’s justice, worship, and future as covenant Lord over all of life.</w:t>
      </w:r>
    </w:p>
    <w:p>
      <w:pPr>
        <w:pStyle w:val="BodyText"/>
      </w:pPr>
      <w:r>
        <w:rPr>
          <w:b/>
          <w:bCs/>
        </w:rPr>
        <w:t xml:space="preserve">Primary Claim:</w:t>
      </w:r>
      <w:r>
        <w:t xml:space="preserve"> </w:t>
      </w:r>
      <w:r>
        <w:t xml:space="preserve">Because the LORD is Israel’s covenant Lord — not merely their deliverer but the Governor of every dimension of their common life — faithful covenant living means ordering justice, time, and trust entirely around Him, and He will act accordingly on their behalf.</w:t>
      </w:r>
    </w:p>
    <w:p>
      <w:r>
        <w:pict>
          <v:rect style="width:0;height:1.5pt" o:hralign="center" o:hrstd="t" o:hr="t"/>
        </w:pict>
      </w:r>
    </w:p>
    <w:bookmarkEnd w:id="14"/>
    <w:bookmarkStart w:id="15" w:name="applications"/>
    <w:p>
      <w:pPr>
        <w:pStyle w:val="Heading2"/>
      </w:pPr>
      <w:r>
        <w:t xml:space="preserve">Applications</w:t>
      </w:r>
    </w:p>
    <w:p>
      <w:pPr>
        <w:pStyle w:val="FirstParagraph"/>
      </w:pPr>
      <w:r>
        <w:rPr>
          <w:b/>
          <w:bCs/>
        </w:rPr>
        <w:t xml:space="preserve">1. (Mind/Belief) — Resist the fragmentation of life into sacred and secular zones.</w:t>
      </w:r>
    </w:p>
    <w:p>
      <w:pPr>
        <w:pStyle w:val="BodyText"/>
      </w:pPr>
      <w:r>
        <w:t xml:space="preserve">Exodus 23 will not permit Israel to treat courtroom behavior and festival worship as unrelated. The same God who commands them not to take bribes (v. 8) also commands them to appear before Him three times a year (v. 17), and promises to drive out their enemies if they obey (v. 22). The contemporary tendency to keep faith in a private spiritual compartment while operating by different rules in business, civic life, or online behavior is precisely what this chapter dismantles. Covenant life is total life — justice, calendar, and confidence all ordered by the same Lord. The question to put before a congregation is not</w:t>
      </w:r>
      <w:r>
        <w:t xml:space="preserve"> </w:t>
      </w:r>
      <w:r>
        <w:t xml:space="preserve">“Are you religious?”</w:t>
      </w:r>
      <w:r>
        <w:t xml:space="preserve"> </w:t>
      </w:r>
      <w:r>
        <w:t xml:space="preserve">but</w:t>
      </w:r>
      <w:r>
        <w:t xml:space="preserve"> </w:t>
      </w:r>
      <w:r>
        <w:t xml:space="preserve">“Is there a zone of your life that has not yet come under His government?”</w:t>
      </w:r>
    </w:p>
    <w:p>
      <w:pPr>
        <w:pStyle w:val="BodyText"/>
      </w:pPr>
      <w:r>
        <w:rPr>
          <w:b/>
          <w:bCs/>
        </w:rPr>
        <w:t xml:space="preserve">2. (Affections/Worship) — Let the foreigner’s vulnerability awaken the compassion that the exodus is meant to produce.</w:t>
      </w:r>
    </w:p>
    <w:p>
      <w:pPr>
        <w:pStyle w:val="BodyText"/>
      </w:pPr>
      <w:r>
        <w:t xml:space="preserve">Verse 9 does not merely command care for foreigners — it grounds that command in something God expects Israel to</w:t>
      </w:r>
      <w:r>
        <w:t xml:space="preserve"> </w:t>
      </w:r>
      <w:r>
        <w:rPr>
          <w:i/>
          <w:iCs/>
        </w:rPr>
        <w:t xml:space="preserve">feel</w:t>
      </w:r>
      <w:r>
        <w:t xml:space="preserve">:</w:t>
      </w:r>
      <w:r>
        <w:t xml:space="preserve"> </w:t>
      </w:r>
      <w:r>
        <w:t xml:space="preserve">“you know the heart of a stranger, for you were strangers in the land of Egypt.”</w:t>
      </w:r>
      <w:r>
        <w:t xml:space="preserve"> </w:t>
      </w:r>
      <w:r>
        <w:t xml:space="preserve">The exodus is not only Israel’s theological story; it is the raw material of their empathy. Redemptive memory is intended to produce emotional attunement to the vulnerable. The contemporary application is direct: the Christian who has known estrangement from God, displacement from the covenant, and welcome through Christ has no theological basis for coldness toward the outsider, the immigrant, or the one who does not yet belong. The gospel does not merely instruct compassion — it creates the experiential soil from which compassion grows.</w:t>
      </w:r>
    </w:p>
    <w:p>
      <w:pPr>
        <w:pStyle w:val="BodyText"/>
      </w:pPr>
      <w:r>
        <w:rPr>
          <w:b/>
          <w:bCs/>
        </w:rPr>
        <w:t xml:space="preserve">3. (Will/Behavior) — Structure your time so that rest becomes an act of trust, not a scheduling luxury.</w:t>
      </w:r>
    </w:p>
    <w:p>
      <w:pPr>
        <w:pStyle w:val="BodyText"/>
      </w:pPr>
      <w:r>
        <w:t xml:space="preserve">The sabbatical year (vv. 10–11) and the weekly Sabbath (v. 12) are not wellness practices — they are declarations that the land belongs to God and that He is sufficient to provide without Israel’s perpetual labor. For contemporary believers, the refusal to rest is almost always a functional statement about ultimate provision:</w:t>
      </w:r>
      <w:r>
        <w:t xml:space="preserve"> </w:t>
      </w:r>
      <w:r>
        <w:rPr>
          <w:i/>
          <w:iCs/>
        </w:rPr>
        <w:t xml:space="preserve">if I stop, things will fall apart.</w:t>
      </w:r>
      <w:r>
        <w:t xml:space="preserve"> </w:t>
      </w:r>
      <w:r>
        <w:t xml:space="preserve">The Sabbath calls that belief a lie. The specific application: identify where continuous productivity has replaced trust in divine provision, and structure one day per week as a deliberate act of relinquishment — not merely as physical recovery but as a practiced confession that God sustains what you cannot.</w:t>
      </w:r>
    </w:p>
    <w:p>
      <w:pPr>
        <w:pStyle w:val="BodyText"/>
      </w:pPr>
      <w:r>
        <w:rPr>
          <w:b/>
          <w:bCs/>
        </w:rPr>
        <w:t xml:space="preserve">4. (Mind/Belief) — Understand that God’s judgment of idolatry is not arbitrary ethnic hostility but the righteous sentence against that which destroys His image-bearers.</w:t>
      </w:r>
    </w:p>
    <w:p>
      <w:pPr>
        <w:pStyle w:val="BodyText"/>
      </w:pPr>
      <w:r>
        <w:t xml:space="preserve">The conquest command (vv. 23–33) is among the passages most likely to cause contemporary readers either to stumble or to dismiss this text. The chapter itself provides the interpretive key: the danger of the Canaanites is not their ethnicity but their gods.</w:t>
      </w:r>
      <w:r>
        <w:t xml:space="preserve"> </w:t>
      </w:r>
      <w:r>
        <w:t xml:space="preserve">“They shall not dwell in your land, lest they make you sin against me”</w:t>
      </w:r>
      <w:r>
        <w:t xml:space="preserve"> </w:t>
      </w:r>
      <w:r>
        <w:t xml:space="preserve">(v. 33). The command is theological, not racial. Further, the canon tells us the nations’ iniquity was full (Gen. 15:16). God’s judgment of Canaan is the same justice He demanded in vv. 1–9 — applied at the macro-historical level. And the warning applies equally to Israel: the chapter does not say</w:t>
      </w:r>
      <w:r>
        <w:t xml:space="preserve"> </w:t>
      </w:r>
      <w:r>
        <w:t xml:space="preserve">“destroy them because they are less than you,”</w:t>
      </w:r>
      <w:r>
        <w:t xml:space="preserve"> </w:t>
      </w:r>
      <w:r>
        <w:t xml:space="preserve">but</w:t>
      </w:r>
      <w:r>
        <w:t xml:space="preserve"> </w:t>
      </w:r>
      <w:r>
        <w:t xml:space="preserve">“do not follow their practices or you will face the same judgment.”</w:t>
      </w:r>
      <w:r>
        <w:t xml:space="preserve"> </w:t>
      </w:r>
      <w:r>
        <w:t xml:space="preserve">God’s people are not immune to the logic of covenant judgment — they are simply more accountable to it.</w:t>
      </w:r>
    </w:p>
    <w:p>
      <w:pPr>
        <w:pStyle w:val="BodyText"/>
      </w:pPr>
      <w:r>
        <w:rPr>
          <w:b/>
          <w:bCs/>
        </w:rPr>
        <w:t xml:space="preserve">5. (Affections/Worship) — Rest in the confidence that the One who has gone before you is greater than what stands in your way.</w:t>
      </w:r>
    </w:p>
    <w:p>
      <w:pPr>
        <w:pStyle w:val="BodyText"/>
      </w:pPr>
      <w:r>
        <w:t xml:space="preserve">The pivot of the chapter is v. 20:</w:t>
      </w:r>
      <w:r>
        <w:t xml:space="preserve"> </w:t>
      </w:r>
      <w:r>
        <w:rPr>
          <w:i/>
          <w:iCs/>
        </w:rPr>
        <w:t xml:space="preserve">“Behold, I send an angel before you to guard you on the way and to bring you to the place that I have prepared.”</w:t>
      </w:r>
      <w:r>
        <w:t xml:space="preserve"> </w:t>
      </w:r>
      <w:r>
        <w:t xml:space="preserve">Israel has not yet seen the land. They do not know the precise shape of the opposition. They are in the wilderness between the promise and its fulfillment — exactly where most of God’s people live most of their lives. The promise is not</w:t>
      </w:r>
      <w:r>
        <w:t xml:space="preserve"> </w:t>
      </w:r>
      <w:r>
        <w:t xml:space="preserve">“I will tell you everything about what lies ahead”</w:t>
      </w:r>
      <w:r>
        <w:t xml:space="preserve"> </w:t>
      </w:r>
      <w:r>
        <w:t xml:space="preserve">but</w:t>
      </w:r>
      <w:r>
        <w:t xml:space="preserve"> </w:t>
      </w:r>
      <w:r>
        <w:t xml:space="preserve">“I am already there, I have prepared it, and I am going before you.”</w:t>
      </w:r>
      <w:r>
        <w:t xml:space="preserve"> </w:t>
      </w:r>
      <w:r>
        <w:t xml:space="preserve">The emotional register this is meant to produce is not bravado or naive optimism but the deep settledness of a people whose path is already secured. The failure to inhabit this confidence — to live anxiously as if the outcome were in doubt — is not merely a psychological problem. It is a failure to believe what God has said here.</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Exodus 23 reveals the LORD as the covenant Lord of the totality — not a private deity concerned only with Israel’s internal worship, but the Governor of their justice systems, their agricultural economy, their calendar, and their military future. The chapter demonstrates that monotheism in Scripture is not primarily a metaphysical claim (</w:t>
      </w:r>
      <w:r>
        <w:t xml:space="preserve">“there is one being, not many”</w:t>
      </w:r>
      <w:r>
        <w:t xml:space="preserve">) but a sovereignty claim: this God governs everything, and no dimension of common life is exempt from His rule. The justice provisions establish His character as the protector of the weak and the ultimate Judge who cannot be bribed. The worship calendar establishes His claim on time itself — the rhythm of Israel’s year is to be structured around His acts in history. The conquest promise establishes that He is not merely reactive to Israel’s obedience but proactively at work in the world to accomplish His purposes. All three sections together create a picture of a God whose covenant is comprehensive — which is precisely why covenant faithfulness must be comprehensive as well.</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chapter is a crucial text for the Reformed doctrine of the third use of the law (usus tertius) — the law as a guide for the redeemed life. The commandments of Exodus 23 are not given to produce Israel’s redemption but to shape the life of a people already redeemed by the exodus. This is the pattern of all biblical covenant ethics: indicative precedes imperative, redemption precedes commandment. The chapter also grounds the Reformed understanding of common grace and creation order: the Sabbath provisions, the care for animals (vv. 5, 12), and the rest of the land demonstrate that God’s covenant purposes extend through Israel to the created order itself, not merely to Israel’s spiritual state. Most significantly, the chapter’s conquest section — with its demand for exclusive covenant loyalty and refusal to accommodate the gods of the nations — undergirds the Reformed insistence that the gospel is publicly true and publicly demanding. There is no neutral ground between covenant loyalty and idolatry; no third zone of merely nominal faith. The warning of v. 33 —</w:t>
      </w:r>
      <w:r>
        <w:t xml:space="preserve"> </w:t>
      </w:r>
      <w:r>
        <w:t xml:space="preserve">“if you serve their gods, it will surely be a snare to you”</w:t>
      </w:r>
      <w:r>
        <w:t xml:space="preserve"> </w:t>
      </w:r>
      <w:r>
        <w:t xml:space="preserve">— is not merely an ancient geopolitical concern but a permanent covenant warning that applies with full force to the contemporary church.</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LORD is not your private chaplain — He is the covenant Lord of your justice, your time, and your future. The question Exodus 23 presses is not whether you believe the right things about God but whether He actually governs every room in your life. If there are spaces where different rules apply — where you treat others with partiality, where you refuse to rest because you don’t trust His provision, where you have quietly negotiated with the idols of your culture — this chapter is the covenant Lord demanding those rooms back. And for those who give them: He has already gone before you, prepared the place, and His Name is on the One who leads you there.</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Preaching the three sections as three disconnected sermons rather than one integrated vision.</w:t>
      </w:r>
      <w:r>
        <w:t xml:space="preserve"> </w:t>
      </w:r>
      <w:r>
        <w:t xml:space="preserve">The justice provisions, the worship calendar, and the conquest promise are routinely treated as three separate topics. Preachers often take the justice section for a social ethics sermon, the festivals for a typology sermon, and skip the conquest section entirely. This fragments what the text intends as a unified picture of covenant life. The chapter’s claim is cumulative — it takes all three sections together to show what it means for the LORD to govern everything. The preacher who extracts only the sections that feel contemporary-friendly has not preached Exodus 23.</w:t>
      </w:r>
    </w:p>
    <w:p>
      <w:pPr>
        <w:numPr>
          <w:ilvl w:val="0"/>
          <w:numId w:val="1002"/>
        </w:numPr>
      </w:pPr>
      <w:r>
        <w:rPr>
          <w:b/>
          <w:bCs/>
        </w:rPr>
        <w:t xml:space="preserve">Moralizing the justice provisions without grounding them in covenant identity.</w:t>
      </w:r>
      <w:r>
        <w:t xml:space="preserve"> </w:t>
      </w:r>
      <w:r>
        <w:t xml:space="preserve">The prohibition on false testimony and the command to care for an enemy’s animal are easily preached as</w:t>
      </w:r>
      <w:r>
        <w:t xml:space="preserve"> </w:t>
      </w:r>
      <w:r>
        <w:t xml:space="preserve">“be fair, be honest, be kind.”</w:t>
      </w:r>
      <w:r>
        <w:t xml:space="preserve"> </w:t>
      </w:r>
      <w:r>
        <w:t xml:space="preserve">This is moralism — the same applications could come from any ethical tradition. The text specifically grounds the care for the foreigner in Israel’s own experience of redemption (v. 9). The motive is always covenantal and theological: you were once there; the LORD brought you out; therefore. Remove the exodus from the justice ethic and you are preaching Aristotle, not Moses.</w:t>
      </w:r>
    </w:p>
    <w:p>
      <w:pPr>
        <w:numPr>
          <w:ilvl w:val="0"/>
          <w:numId w:val="1002"/>
        </w:numPr>
      </w:pPr>
      <w:r>
        <w:rPr>
          <w:b/>
          <w:bCs/>
        </w:rPr>
        <w:t xml:space="preserve">Ignoring or spiritualizing the conquest command.</w:t>
      </w:r>
      <w:r>
        <w:t xml:space="preserve"> </w:t>
      </w:r>
      <w:r>
        <w:t xml:space="preserve">The most common failure with vv. 23–33 is either silent omission or immediate allegory (</w:t>
      </w:r>
      <w:r>
        <w:t xml:space="preserve">“the Canaanites represent our sin patterns”</w:t>
      </w:r>
      <w:r>
        <w:t xml:space="preserve">). While the New Covenant application is genuinely spiritual warfare rather than physical conquest, the allegory should not replace the historical-theological substance: God executed righteous judgment on nations whose iniquity was full, He used Israel as His instrument, and the same covenantal logic applies to Israel if they follow the same path. Preaching that skips to the spiritual application without establishing the theological justice of the historical event leaves the congregation without the resources to answer the obvious objection: How could a good God command this?</w:t>
      </w:r>
    </w:p>
    <w:p>
      <w:pPr>
        <w:numPr>
          <w:ilvl w:val="0"/>
          <w:numId w:val="1002"/>
        </w:numPr>
      </w:pPr>
      <w:r>
        <w:rPr>
          <w:b/>
          <w:bCs/>
        </w:rPr>
        <w:t xml:space="preserve">Missing the Christophanic possibility in the angel (vv. 20–23) and its homiletical richness.</w:t>
      </w:r>
      <w:r>
        <w:t xml:space="preserve"> </w:t>
      </w:r>
      <w:r>
        <w:t xml:space="preserve">The angel who bears the LORD’s Name, whose authority is divine, and who cannot forgive transgression independently — preached merely as a guardian angel or created messenger — wastes the passage’s most significant theological depth. Even where the Christophanic identification is held with appropriate tentativeness, the homiletical move is compelling: the One who went before Israel in the wilderness to bring them into their inheritance is the same One who, in flesh, goes before His people through death and resurrection into the inheritance that does not perish. Failure to note this possibility leaves the passage’s New Covenant resonance largely untouched.</w:t>
      </w:r>
    </w:p>
    <w:p>
      <w:pPr>
        <w:numPr>
          <w:ilvl w:val="0"/>
          <w:numId w:val="1002"/>
        </w:numPr>
      </w:pPr>
      <w:r>
        <w:rPr>
          <w:b/>
          <w:bCs/>
        </w:rPr>
        <w:t xml:space="preserve">Treating the worship calendar as merely typological and therefore fully exhausted in Christ.</w:t>
      </w:r>
      <w:r>
        <w:t xml:space="preserve"> </w:t>
      </w:r>
      <w:r>
        <w:t xml:space="preserve">The Dispensational and some Reformed readings move so quickly to the fulfillment of the festivals in Christ that they fail to preach the festivals as forming a lived posture: gratitude at firstfruits, rest in the sabbatical, communal celebration of harvest. The New Covenant does not merely abolish these rhythms — it transforms them. The Lord’s Day, the Lord’s Supper, and the church calendar are the covenant community’s contemporary participation in the same structure: God’s people ordering their time around His acts in redemptive history. Preaching the festivals as merely predictive types that are now obsolete misses the covenant-formation function the text is actually performing.</w:t>
      </w:r>
    </w:p>
    <w:p>
      <w:pPr>
        <w:numPr>
          <w:ilvl w:val="0"/>
          <w:numId w:val="1002"/>
        </w:numPr>
      </w:pPr>
      <w:r>
        <w:rPr>
          <w:b/>
          <w:bCs/>
        </w:rPr>
        <w:t xml:space="preserve">Preaching the blessings of vv. 25–26 as a prosperity formula.</w:t>
      </w:r>
      <w:r>
        <w:t xml:space="preserve"> </w:t>
      </w:r>
      <w:r>
        <w:t xml:space="preserve">“He will bless your bread and your water and take sickness away from your midst”</w:t>
      </w:r>
      <w:r>
        <w:t xml:space="preserve"> </w:t>
      </w:r>
      <w:r>
        <w:t xml:space="preserve">— this passage, extracted from its covenant context, becomes a divine vending machine: obey and receive physical health and material provision. The text is a covenant promise given to a specific people in a specific moment about life in the promised land under theocratic governance. The New Covenant equivalent involves blessings that are eschatologically oriented — the fullness of these promises arrives in the resurrection, not in the present age. Preaching these verses without the covenant-historical and eschatological frame produces false expectations and a transactional theology of obedience.</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2026-07-14T21:01:28Z</dcterms:created>
  <dcterms:modified xsi:type="dcterms:W3CDTF">2026-07-14T21:01:28Z</dcterms:modified>
</cp:coreProperties>
</file>

<file path=docProps/custom.xml><?xml version="1.0" encoding="utf-8"?>
<Properties xmlns="http://schemas.openxmlformats.org/officeDocument/2006/custom-properties" xmlns:vt="http://schemas.openxmlformats.org/officeDocument/2006/docPropsVTypes"/>
</file>